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582"/>
        <w:gridCol w:w="2778"/>
        <w:tblGridChange w:id="0">
          <w:tblGrid>
            <w:gridCol w:w="6582"/>
            <w:gridCol w:w="277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Encinal High School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Athletic Boosters – Board Meeting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Agenda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April 15, 2020  6:30pm - Pier 29 Restaurant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188720" cy="115026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502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MEETING CANCELED DUE TO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Athletic Director’s Report</w:t>
      </w:r>
      <w:r w:rsidDel="00000000" w:rsidR="00000000" w:rsidRPr="00000000">
        <w:rPr>
          <w:rtl w:val="0"/>
        </w:rPr>
        <w:t xml:space="preserve"> -Lani/Kevin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Treasurer’s Report  - Vince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10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Crab Feed Debrief - Helene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Check in/out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Acquisitions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Auction Items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Set-up/Decor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Merchandise.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Kitchen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Timeline of Event/Flow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 Location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Expenses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Net Fundraised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Procedure for Coaches requesting funds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Clarity &amp; Consistency- Team Holdings vs. AD/Booster purchases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Streamline procedure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List of Team Guidelines for budgeting purposes of how often each team will be allowed to receive new items/uniforms, etc. from AD/Boosters. (If they fundraise on their own they can get items every year…)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i w:val="1"/>
        </w:rPr>
      </w:pPr>
      <w:r w:rsidDel="00000000" w:rsidR="00000000" w:rsidRPr="00000000">
        <w:rPr>
          <w:i w:val="1"/>
          <w:color w:val="000000"/>
          <w:highlight w:val="yellow"/>
          <w:rtl w:val="0"/>
        </w:rPr>
        <w:t xml:space="preserve">Next Month’s meeting: </w:t>
      </w:r>
      <w:r w:rsidDel="00000000" w:rsidR="00000000" w:rsidRPr="00000000">
        <w:rPr>
          <w:b w:val="1"/>
          <w:i w:val="1"/>
          <w:highlight w:val="yellow"/>
          <w:u w:val="single"/>
          <w:rtl w:val="0"/>
        </w:rPr>
        <w:t xml:space="preserve">May 13 2020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highlight w:val="yellow"/>
          <w:rtl w:val="0"/>
        </w:rPr>
        <w:t xml:space="preserve"> at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 </w:t>
      </w:r>
      <w:r w:rsidDel="00000000" w:rsidR="00000000" w:rsidRPr="00000000">
        <w:rPr>
          <w:b w:val="1"/>
          <w:i w:val="1"/>
          <w:highlight w:val="yellow"/>
          <w:u w:val="single"/>
          <w:rtl w:val="0"/>
        </w:rPr>
        <w:t xml:space="preserve">EHS ROOM 605?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576" w:top="43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>
        <w:b w:val="0"/>
        <w:i w:val="0"/>
      </w:rPr>
    </w:lvl>
    <w:lvl w:ilvl="2">
      <w:start w:val="1"/>
      <w:numFmt w:val="bullet"/>
      <w:lvlText w:val="●"/>
      <w:lvlJc w:val="left"/>
      <w:pPr>
        <w:ind w:left="2070" w:hanging="180"/>
      </w:pPr>
      <w:rPr>
        <w:rFonts w:ascii="Arial" w:cs="Arial" w:eastAsia="Arial" w:hAnsi="Arial"/>
      </w:rPr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>
        <w:b w:val="0"/>
        <w:i w:val="0"/>
      </w:rPr>
    </w:lvl>
    <w:lvl w:ilvl="2">
      <w:start w:val="1"/>
      <w:numFmt w:val="bullet"/>
      <w:lvlText w:val="●"/>
      <w:lvlJc w:val="left"/>
      <w:pPr>
        <w:ind w:left="1440" w:hanging="180"/>
      </w:pPr>
      <w:rPr>
        <w:rFonts w:ascii="Arial" w:cs="Arial" w:eastAsia="Arial" w:hAnsi="Arial"/>
      </w:rPr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